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B003" w14:textId="0A10C7C6" w:rsidR="000F3189" w:rsidRDefault="00DE41B2" w:rsidP="00DE41B2">
      <w:pPr>
        <w:jc w:val="center"/>
        <w:rPr>
          <w:b/>
          <w:bCs/>
        </w:rPr>
      </w:pPr>
      <w:r>
        <w:rPr>
          <w:b/>
          <w:bCs/>
        </w:rPr>
        <w:t xml:space="preserve">ASCC Arts and Humanities 2 Panel </w:t>
      </w:r>
    </w:p>
    <w:p w14:paraId="40CCA383" w14:textId="15CBC4AA" w:rsidR="00DE41B2" w:rsidRDefault="00232A42" w:rsidP="00DE41B2">
      <w:pPr>
        <w:jc w:val="center"/>
      </w:pPr>
      <w:r>
        <w:t>A</w:t>
      </w:r>
      <w:r w:rsidR="003C58CC">
        <w:t xml:space="preserve">pproved </w:t>
      </w:r>
      <w:r w:rsidR="00DE41B2">
        <w:t>Minutes</w:t>
      </w:r>
    </w:p>
    <w:p w14:paraId="019EED5C" w14:textId="004254A0" w:rsidR="00DE41B2" w:rsidRDefault="00DE41B2" w:rsidP="00DE41B2">
      <w:r>
        <w:t>Thursday, April 13</w:t>
      </w:r>
      <w:r w:rsidRPr="00DE41B2">
        <w:rPr>
          <w:vertAlign w:val="superscript"/>
        </w:rPr>
        <w:t>th</w:t>
      </w:r>
      <w:r>
        <w:t xml:space="preserve">, </w:t>
      </w:r>
      <w:proofErr w:type="gramStart"/>
      <w:r>
        <w:t>2023</w:t>
      </w:r>
      <w:proofErr w:type="gramEnd"/>
      <w:r>
        <w:tab/>
      </w:r>
      <w:r>
        <w:tab/>
      </w:r>
      <w:r>
        <w:tab/>
      </w:r>
      <w:r>
        <w:tab/>
      </w:r>
      <w:r>
        <w:tab/>
      </w:r>
      <w:r>
        <w:tab/>
        <w:t xml:space="preserve">                         3:30PM – 5:00PM</w:t>
      </w:r>
    </w:p>
    <w:p w14:paraId="0BB538B9" w14:textId="2A32F458" w:rsidR="00DE41B2" w:rsidRDefault="00DE41B2" w:rsidP="00DE41B2">
      <w:proofErr w:type="spellStart"/>
      <w:r>
        <w:t>CarmenZoom</w:t>
      </w:r>
      <w:proofErr w:type="spellEnd"/>
    </w:p>
    <w:p w14:paraId="7FD493A7" w14:textId="19317D02" w:rsidR="00DE41B2" w:rsidRDefault="00DE41B2" w:rsidP="00DE41B2"/>
    <w:p w14:paraId="1A957BA3" w14:textId="22A67374" w:rsidR="00DE41B2" w:rsidRDefault="00DE41B2" w:rsidP="00DE41B2">
      <w:r>
        <w:rPr>
          <w:b/>
          <w:bCs/>
        </w:rPr>
        <w:t xml:space="preserve">Attendees: </w:t>
      </w:r>
      <w:r>
        <w:t>Bitters, Diles, Hilty, Paulsen, Romero, Steele, Steinmetz, Vankeerbergen</w:t>
      </w:r>
    </w:p>
    <w:p w14:paraId="66A7EBD3" w14:textId="530EF0D1" w:rsidR="00DE41B2" w:rsidRDefault="00DE41B2" w:rsidP="00DE41B2"/>
    <w:p w14:paraId="7F3962BB" w14:textId="63D725C4" w:rsidR="00DE41B2" w:rsidRDefault="007F5F8B" w:rsidP="00DE41B2">
      <w:pPr>
        <w:pStyle w:val="ListParagraph"/>
        <w:numPr>
          <w:ilvl w:val="0"/>
          <w:numId w:val="1"/>
        </w:numPr>
      </w:pPr>
      <w:r>
        <w:t>Approval of 03/30/2023 Minutes</w:t>
      </w:r>
    </w:p>
    <w:p w14:paraId="4FD0CA30" w14:textId="3A7467FC" w:rsidR="007F5F8B" w:rsidRDefault="007F5F8B" w:rsidP="007F5F8B">
      <w:pPr>
        <w:pStyle w:val="ListParagraph"/>
        <w:numPr>
          <w:ilvl w:val="1"/>
          <w:numId w:val="1"/>
        </w:numPr>
      </w:pPr>
      <w:r>
        <w:t xml:space="preserve">Steinmetz, Paulsen, </w:t>
      </w:r>
      <w:r>
        <w:rPr>
          <w:b/>
          <w:bCs/>
        </w:rPr>
        <w:t xml:space="preserve">unanimously </w:t>
      </w:r>
      <w:proofErr w:type="gramStart"/>
      <w:r>
        <w:rPr>
          <w:b/>
          <w:bCs/>
        </w:rPr>
        <w:t>approved</w:t>
      </w:r>
      <w:proofErr w:type="gramEnd"/>
      <w:r>
        <w:rPr>
          <w:b/>
          <w:bCs/>
        </w:rPr>
        <w:t xml:space="preserve"> </w:t>
      </w:r>
    </w:p>
    <w:p w14:paraId="1EC60C49" w14:textId="68A2A5CC" w:rsidR="007F5F8B" w:rsidRDefault="007F5F8B" w:rsidP="007F5F8B">
      <w:pPr>
        <w:pStyle w:val="ListParagraph"/>
        <w:numPr>
          <w:ilvl w:val="0"/>
          <w:numId w:val="1"/>
        </w:numPr>
      </w:pPr>
      <w:r>
        <w:t>Revision to the French Minor</w:t>
      </w:r>
    </w:p>
    <w:p w14:paraId="42BF6591" w14:textId="69608EA8" w:rsidR="007F5F8B" w:rsidRDefault="007F5F8B" w:rsidP="007F5F8B">
      <w:pPr>
        <w:pStyle w:val="ListParagraph"/>
        <w:numPr>
          <w:ilvl w:val="1"/>
          <w:numId w:val="1"/>
        </w:numPr>
      </w:pPr>
      <w:r>
        <w:t xml:space="preserve">Paulsen, Steinmetz, </w:t>
      </w:r>
      <w:r>
        <w:rPr>
          <w:b/>
          <w:bCs/>
        </w:rPr>
        <w:t xml:space="preserve">unanimously </w:t>
      </w:r>
      <w:proofErr w:type="gramStart"/>
      <w:r>
        <w:rPr>
          <w:b/>
          <w:bCs/>
        </w:rPr>
        <w:t>approved</w:t>
      </w:r>
      <w:proofErr w:type="gramEnd"/>
      <w:r>
        <w:rPr>
          <w:b/>
          <w:bCs/>
        </w:rPr>
        <w:t xml:space="preserve"> </w:t>
      </w:r>
    </w:p>
    <w:p w14:paraId="384DAC75" w14:textId="1144F7C3" w:rsidR="007F5F8B" w:rsidRDefault="007F5F8B" w:rsidP="007F5F8B">
      <w:pPr>
        <w:pStyle w:val="ListParagraph"/>
        <w:numPr>
          <w:ilvl w:val="0"/>
          <w:numId w:val="1"/>
        </w:numPr>
      </w:pPr>
      <w:r>
        <w:t>Revision to the Screenwriting Minor</w:t>
      </w:r>
    </w:p>
    <w:p w14:paraId="1DE1A66B" w14:textId="26AC186A" w:rsidR="007F5F8B" w:rsidRDefault="007F5F8B" w:rsidP="007F5F8B">
      <w:pPr>
        <w:pStyle w:val="ListParagraph"/>
        <w:numPr>
          <w:ilvl w:val="1"/>
          <w:numId w:val="1"/>
        </w:numPr>
      </w:pPr>
      <w:r>
        <w:t xml:space="preserve">Steinmetz, Paulsen, </w:t>
      </w:r>
      <w:r>
        <w:rPr>
          <w:b/>
          <w:bCs/>
        </w:rPr>
        <w:t xml:space="preserve">unanimously </w:t>
      </w:r>
      <w:proofErr w:type="gramStart"/>
      <w:r>
        <w:rPr>
          <w:b/>
          <w:bCs/>
        </w:rPr>
        <w:t>approved</w:t>
      </w:r>
      <w:proofErr w:type="gramEnd"/>
      <w:r>
        <w:rPr>
          <w:b/>
          <w:bCs/>
        </w:rPr>
        <w:t xml:space="preserve"> </w:t>
      </w:r>
    </w:p>
    <w:p w14:paraId="333173C0" w14:textId="7AA14FF5" w:rsidR="007F5F8B" w:rsidRDefault="007F5F8B" w:rsidP="007F5F8B">
      <w:pPr>
        <w:pStyle w:val="ListParagraph"/>
        <w:numPr>
          <w:ilvl w:val="0"/>
          <w:numId w:val="1"/>
        </w:numPr>
      </w:pPr>
      <w:r>
        <w:t xml:space="preserve">Classics 3210 (new course requesting GEN Theme: Citizenship for a Diverse and Just World) </w:t>
      </w:r>
    </w:p>
    <w:p w14:paraId="1985632A" w14:textId="2DA6CB90" w:rsidR="007F5F8B" w:rsidRPr="00165CDC" w:rsidRDefault="007F5F8B" w:rsidP="007F5F8B">
      <w:pPr>
        <w:pStyle w:val="ListParagraph"/>
        <w:numPr>
          <w:ilvl w:val="1"/>
          <w:numId w:val="1"/>
        </w:numPr>
      </w:pPr>
      <w:r>
        <w:rPr>
          <w:b/>
          <w:bCs/>
        </w:rPr>
        <w:t xml:space="preserve">The Panel asks that a brief rationale be provided after the GEN Goals and ELOs (as found on page 2 of the syllabus) that explains to students how they can expect to meet the ELOs of the requested GEN category. This is a requirement of all General Education </w:t>
      </w:r>
      <w:r w:rsidR="00A01B84">
        <w:rPr>
          <w:b/>
          <w:bCs/>
        </w:rPr>
        <w:t>syllabi</w:t>
      </w:r>
      <w:r>
        <w:rPr>
          <w:b/>
          <w:bCs/>
        </w:rPr>
        <w:t xml:space="preserve">. Please see the ASC Curriculum and Assessment Services website for more details: </w:t>
      </w:r>
      <w:hyperlink r:id="rId5" w:history="1">
        <w:r w:rsidRPr="00A75600">
          <w:rPr>
            <w:rStyle w:val="Hyperlink"/>
            <w:b/>
            <w:bCs/>
          </w:rPr>
          <w:t>https://asccas.osu.edu/curriculum/syllabus-elements</w:t>
        </w:r>
      </w:hyperlink>
      <w:r>
        <w:rPr>
          <w:b/>
          <w:bCs/>
        </w:rPr>
        <w:t xml:space="preserve">. </w:t>
      </w:r>
    </w:p>
    <w:p w14:paraId="4C7D1FBA" w14:textId="13FF7CB4" w:rsidR="00165CDC" w:rsidRPr="00165CDC" w:rsidRDefault="00165CDC" w:rsidP="007F5F8B">
      <w:pPr>
        <w:pStyle w:val="ListParagraph"/>
        <w:numPr>
          <w:ilvl w:val="1"/>
          <w:numId w:val="1"/>
        </w:numPr>
      </w:pPr>
      <w:r>
        <w:rPr>
          <w:b/>
          <w:bCs/>
        </w:rPr>
        <w:t xml:space="preserve">The Panel asks that the required academic misconduct and Student Life – Disability Services statements be added to the course syllabus. While they recognize there are syllabus statements on page 6 of the syllabus, these are not the statements that are required to be on all Arts and Sciences syllabus. Please see the ASC Curriculum and Assessment Services website for the most up-to-date and required statements: </w:t>
      </w:r>
      <w:hyperlink r:id="rId6" w:history="1">
        <w:r w:rsidRPr="00A75600">
          <w:rPr>
            <w:rStyle w:val="Hyperlink"/>
            <w:b/>
            <w:bCs/>
          </w:rPr>
          <w:t>https://asccas.osu.edu/curriculum/syllabus-elements</w:t>
        </w:r>
      </w:hyperlink>
      <w:r>
        <w:rPr>
          <w:b/>
          <w:bCs/>
        </w:rPr>
        <w:t>.</w:t>
      </w:r>
    </w:p>
    <w:p w14:paraId="4B5FBD49" w14:textId="24309692" w:rsidR="00165CDC" w:rsidRPr="00165CDC" w:rsidRDefault="00165CDC" w:rsidP="007F5F8B">
      <w:pPr>
        <w:pStyle w:val="ListParagraph"/>
        <w:numPr>
          <w:ilvl w:val="1"/>
          <w:numId w:val="1"/>
        </w:numPr>
      </w:pPr>
      <w:r>
        <w:rPr>
          <w:i/>
          <w:iCs/>
        </w:rPr>
        <w:t xml:space="preserve">The Panel recommends clarifying how a student earns their points within the course. For example, on page 5 of the syllabus, there is a grade breakdown that states that attendance, participation, small group writing exercises, and forum posts are collectively worth 15% of a student’s final grade. They recommend breaking this out so that a student knows how much of the final grade the attendance, participation, forum posts, and small group writing exercises are contributing individually to a student’s final grade. </w:t>
      </w:r>
    </w:p>
    <w:p w14:paraId="770D1DFA" w14:textId="5E35F7BF" w:rsidR="00165CDC" w:rsidRDefault="00165CDC" w:rsidP="007F5F8B">
      <w:pPr>
        <w:pStyle w:val="ListParagraph"/>
        <w:numPr>
          <w:ilvl w:val="1"/>
          <w:numId w:val="1"/>
        </w:numPr>
      </w:pPr>
      <w:r>
        <w:t xml:space="preserve">Diles, Paulsen, </w:t>
      </w:r>
      <w:r>
        <w:rPr>
          <w:b/>
          <w:bCs/>
        </w:rPr>
        <w:t xml:space="preserve">unanimously approved </w:t>
      </w:r>
      <w:r w:rsidR="00797E15">
        <w:t xml:space="preserve">with </w:t>
      </w:r>
      <w:r w:rsidR="00797E15">
        <w:rPr>
          <w:b/>
          <w:bCs/>
        </w:rPr>
        <w:t xml:space="preserve">two contingencies </w:t>
      </w:r>
      <w:r w:rsidR="00797E15">
        <w:t xml:space="preserve">(in bold above) and </w:t>
      </w:r>
      <w:r w:rsidR="00797E15">
        <w:rPr>
          <w:i/>
          <w:iCs/>
        </w:rPr>
        <w:t xml:space="preserve">one recommendation </w:t>
      </w:r>
      <w:r w:rsidR="00797E15">
        <w:t xml:space="preserve">(in italics above) </w:t>
      </w:r>
    </w:p>
    <w:p w14:paraId="1E702425" w14:textId="0F8E1A4E" w:rsidR="00165CDC" w:rsidRDefault="00165CDC" w:rsidP="00165CDC">
      <w:pPr>
        <w:pStyle w:val="ListParagraph"/>
        <w:numPr>
          <w:ilvl w:val="0"/>
          <w:numId w:val="1"/>
        </w:numPr>
      </w:pPr>
      <w:r>
        <w:t xml:space="preserve">Jewish Studies 3636 (new course requesting GEN Theme: Health and Wellbeing) </w:t>
      </w:r>
    </w:p>
    <w:p w14:paraId="5993D2BD" w14:textId="03B7431A" w:rsidR="00165CDC" w:rsidRPr="00797E15" w:rsidRDefault="00165CDC" w:rsidP="00165CDC">
      <w:pPr>
        <w:pStyle w:val="ListParagraph"/>
        <w:numPr>
          <w:ilvl w:val="1"/>
          <w:numId w:val="1"/>
        </w:numPr>
      </w:pPr>
      <w:r>
        <w:rPr>
          <w:b/>
          <w:bCs/>
        </w:rPr>
        <w:t xml:space="preserve">The Panel asks that more information be provided on the course assignments, especially the midterm, final and final project. Currently, as discussed on pages </w:t>
      </w:r>
      <w:r w:rsidR="00797E15">
        <w:rPr>
          <w:b/>
          <w:bCs/>
        </w:rPr>
        <w:t xml:space="preserve">3-5 of the course syllabus, there is no information on the format of the midterm and final exam. Will </w:t>
      </w:r>
      <w:r w:rsidR="003C58CC">
        <w:rPr>
          <w:b/>
          <w:bCs/>
        </w:rPr>
        <w:t>the final exam</w:t>
      </w:r>
      <w:r w:rsidR="00797E15">
        <w:rPr>
          <w:b/>
          <w:bCs/>
        </w:rPr>
        <w:t xml:space="preserve"> be in-class or online? How will they be administered? What styles of questions can students expect to have to complete</w:t>
      </w:r>
      <w:r w:rsidR="003C58CC">
        <w:rPr>
          <w:b/>
          <w:bCs/>
        </w:rPr>
        <w:t xml:space="preserve"> (such as essay, true/false, multiple choice, etc.</w:t>
      </w:r>
      <w:r w:rsidR="00797E15">
        <w:rPr>
          <w:b/>
          <w:bCs/>
        </w:rPr>
        <w:t xml:space="preserve">? Additionally, they ask that more information be provided about </w:t>
      </w:r>
      <w:r w:rsidR="00797E15">
        <w:rPr>
          <w:b/>
          <w:bCs/>
        </w:rPr>
        <w:lastRenderedPageBreak/>
        <w:t xml:space="preserve">the final project, such as expectations of the submitted materials, length of the required submitted materials, information surrounding the scaffolded nature of the assignment (such as how many required sources for the annotated bibliography), etc. </w:t>
      </w:r>
    </w:p>
    <w:p w14:paraId="0B966553" w14:textId="51EA5FF2" w:rsidR="00797E15" w:rsidRPr="00797E15" w:rsidRDefault="00797E15" w:rsidP="00165CDC">
      <w:pPr>
        <w:pStyle w:val="ListParagraph"/>
        <w:numPr>
          <w:ilvl w:val="1"/>
          <w:numId w:val="1"/>
        </w:numPr>
      </w:pPr>
      <w:r>
        <w:rPr>
          <w:b/>
          <w:bCs/>
        </w:rPr>
        <w:t xml:space="preserve">The Panel asks that clarification be made surrounding the course attendance policy, as it seems students will be penalized twice with the current policy. According to page 3 of the syllabus, attendance and participation is 10% of the final grade and students are graded on how much they participate and attend course. However, on page 6 of the syllabus, it states that students will lose up to 5% of their grade per unexcused absence after the first two. Does this truly mean that students will lose 5% of their final grade in addition to points on their attendance and participation grade? </w:t>
      </w:r>
    </w:p>
    <w:p w14:paraId="276FB908" w14:textId="5B70EC6B" w:rsidR="00797E15" w:rsidRPr="00DE41B2" w:rsidRDefault="00797E15" w:rsidP="00165CDC">
      <w:pPr>
        <w:pStyle w:val="ListParagraph"/>
        <w:numPr>
          <w:ilvl w:val="1"/>
          <w:numId w:val="1"/>
        </w:numPr>
      </w:pPr>
      <w:r>
        <w:t xml:space="preserve">Paulsen, Diles, </w:t>
      </w:r>
      <w:r>
        <w:rPr>
          <w:b/>
          <w:bCs/>
        </w:rPr>
        <w:t xml:space="preserve">unanimously approved </w:t>
      </w:r>
      <w:r>
        <w:t xml:space="preserve">with </w:t>
      </w:r>
      <w:r>
        <w:rPr>
          <w:b/>
          <w:bCs/>
        </w:rPr>
        <w:t xml:space="preserve">two contingencies </w:t>
      </w:r>
      <w:r>
        <w:t xml:space="preserve">(in bold above) </w:t>
      </w:r>
    </w:p>
    <w:sectPr w:rsidR="00797E15" w:rsidRPr="00DE4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92987"/>
    <w:multiLevelType w:val="hybridMultilevel"/>
    <w:tmpl w:val="6AD8549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538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B2"/>
    <w:rsid w:val="00165CDC"/>
    <w:rsid w:val="00232A42"/>
    <w:rsid w:val="002977A5"/>
    <w:rsid w:val="00366044"/>
    <w:rsid w:val="003C58CC"/>
    <w:rsid w:val="0071315A"/>
    <w:rsid w:val="00797E15"/>
    <w:rsid w:val="007F5F8B"/>
    <w:rsid w:val="00A01B84"/>
    <w:rsid w:val="00D50CCF"/>
    <w:rsid w:val="00DE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94FF"/>
  <w15:chartTrackingRefBased/>
  <w15:docId w15:val="{542DB2F5-29DF-44A9-A38A-BD63AB07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1B2"/>
    <w:pPr>
      <w:ind w:left="720"/>
      <w:contextualSpacing/>
    </w:pPr>
  </w:style>
  <w:style w:type="character" w:styleId="Hyperlink">
    <w:name w:val="Hyperlink"/>
    <w:basedOn w:val="DefaultParagraphFont"/>
    <w:uiPriority w:val="99"/>
    <w:unhideWhenUsed/>
    <w:rsid w:val="007F5F8B"/>
    <w:rPr>
      <w:color w:val="0563C1" w:themeColor="hyperlink"/>
      <w:u w:val="single"/>
    </w:rPr>
  </w:style>
  <w:style w:type="character" w:customStyle="1" w:styleId="UnresolvedMention1">
    <w:name w:val="Unresolved Mention1"/>
    <w:basedOn w:val="DefaultParagraphFont"/>
    <w:uiPriority w:val="99"/>
    <w:semiHidden/>
    <w:unhideWhenUsed/>
    <w:rsid w:val="007F5F8B"/>
    <w:rPr>
      <w:color w:val="605E5C"/>
      <w:shd w:val="clear" w:color="auto" w:fill="E1DFDD"/>
    </w:rPr>
  </w:style>
  <w:style w:type="character" w:styleId="CommentReference">
    <w:name w:val="annotation reference"/>
    <w:basedOn w:val="DefaultParagraphFont"/>
    <w:uiPriority w:val="99"/>
    <w:semiHidden/>
    <w:unhideWhenUsed/>
    <w:rsid w:val="00D50CCF"/>
    <w:rPr>
      <w:sz w:val="16"/>
      <w:szCs w:val="16"/>
    </w:rPr>
  </w:style>
  <w:style w:type="paragraph" w:styleId="CommentText">
    <w:name w:val="annotation text"/>
    <w:basedOn w:val="Normal"/>
    <w:link w:val="CommentTextChar"/>
    <w:uiPriority w:val="99"/>
    <w:semiHidden/>
    <w:unhideWhenUsed/>
    <w:rsid w:val="00D50CCF"/>
    <w:pPr>
      <w:spacing w:line="240" w:lineRule="auto"/>
    </w:pPr>
    <w:rPr>
      <w:sz w:val="20"/>
      <w:szCs w:val="20"/>
    </w:rPr>
  </w:style>
  <w:style w:type="character" w:customStyle="1" w:styleId="CommentTextChar">
    <w:name w:val="Comment Text Char"/>
    <w:basedOn w:val="DefaultParagraphFont"/>
    <w:link w:val="CommentText"/>
    <w:uiPriority w:val="99"/>
    <w:semiHidden/>
    <w:rsid w:val="00D50CCF"/>
    <w:rPr>
      <w:sz w:val="20"/>
      <w:szCs w:val="20"/>
    </w:rPr>
  </w:style>
  <w:style w:type="paragraph" w:styleId="CommentSubject">
    <w:name w:val="annotation subject"/>
    <w:basedOn w:val="CommentText"/>
    <w:next w:val="CommentText"/>
    <w:link w:val="CommentSubjectChar"/>
    <w:uiPriority w:val="99"/>
    <w:semiHidden/>
    <w:unhideWhenUsed/>
    <w:rsid w:val="00D50CCF"/>
    <w:rPr>
      <w:b/>
      <w:bCs/>
    </w:rPr>
  </w:style>
  <w:style w:type="character" w:customStyle="1" w:styleId="CommentSubjectChar">
    <w:name w:val="Comment Subject Char"/>
    <w:basedOn w:val="CommentTextChar"/>
    <w:link w:val="CommentSubject"/>
    <w:uiPriority w:val="99"/>
    <w:semiHidden/>
    <w:rsid w:val="00D50CCF"/>
    <w:rPr>
      <w:b/>
      <w:bCs/>
      <w:sz w:val="20"/>
      <w:szCs w:val="20"/>
    </w:rPr>
  </w:style>
  <w:style w:type="paragraph" w:styleId="BalloonText">
    <w:name w:val="Balloon Text"/>
    <w:basedOn w:val="Normal"/>
    <w:link w:val="BalloonTextChar"/>
    <w:uiPriority w:val="99"/>
    <w:semiHidden/>
    <w:unhideWhenUsed/>
    <w:rsid w:val="00D50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CCF"/>
    <w:rPr>
      <w:rFonts w:ascii="Segoe UI" w:hAnsi="Segoe UI" w:cs="Segoe UI"/>
      <w:sz w:val="18"/>
      <w:szCs w:val="18"/>
    </w:rPr>
  </w:style>
  <w:style w:type="paragraph" w:styleId="Revision">
    <w:name w:val="Revision"/>
    <w:hidden/>
    <w:uiPriority w:val="99"/>
    <w:semiHidden/>
    <w:rsid w:val="003C5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2023-06-15T13:01:00Z</dcterms:created>
  <dcterms:modified xsi:type="dcterms:W3CDTF">2023-06-15T13:01:00Z</dcterms:modified>
</cp:coreProperties>
</file>